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6ED5B" w14:textId="091EB59B" w:rsidR="001D32AE" w:rsidRPr="00903ADA" w:rsidRDefault="00471392" w:rsidP="00903ADA">
      <w:pPr>
        <w:spacing w:after="120" w:line="259" w:lineRule="auto"/>
        <w:rPr>
          <w:rFonts w:ascii="Arial" w:hAnsi="Arial" w:cs="Arial"/>
          <w:b/>
          <w:sz w:val="32"/>
          <w:szCs w:val="32"/>
        </w:rPr>
      </w:pPr>
      <w:r w:rsidRPr="00903ADA">
        <w:rPr>
          <w:rFonts w:ascii="Arial" w:hAnsi="Arial" w:cs="Arial"/>
          <w:b/>
          <w:noProof/>
          <w:sz w:val="32"/>
          <w:szCs w:val="32"/>
        </w:rPr>
        <mc:AlternateContent>
          <mc:Choice Requires="wps">
            <w:drawing>
              <wp:anchor distT="0" distB="0" distL="114300" distR="114300" simplePos="0" relativeHeight="251659264" behindDoc="0" locked="0" layoutInCell="1" allowOverlap="1" wp14:anchorId="44553ADF" wp14:editId="14C04FF6">
                <wp:simplePos x="0" y="0"/>
                <wp:positionH relativeFrom="column">
                  <wp:posOffset>17780</wp:posOffset>
                </wp:positionH>
                <wp:positionV relativeFrom="paragraph">
                  <wp:posOffset>-744818</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48BBC8" w14:textId="15F5CD9D" w:rsidR="00D11A64" w:rsidRPr="002E249A" w:rsidRDefault="00903ADA" w:rsidP="002E249A">
                            <w:pPr>
                              <w:rPr>
                                <w:color w:val="000000" w:themeColor="text1"/>
                                <w:sz w:val="50"/>
                                <w:szCs w:val="50"/>
                              </w:rPr>
                            </w:pPr>
                            <w:r>
                              <w:rPr>
                                <w:rFonts w:ascii="Arial" w:hAnsi="Arial" w:cs="Arial"/>
                                <w:color w:val="000000" w:themeColor="text1"/>
                                <w:sz w:val="50"/>
                                <w:szCs w:val="50"/>
                              </w:rPr>
                              <w:t>Team Reflection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53ADF" id="_x0000_t202" coordsize="21600,21600" o:spt="202" path="m,l,21600r21600,l21600,xe">
                <v:stroke joinstyle="miter"/>
                <v:path gradientshapeok="t" o:connecttype="rect"/>
              </v:shapetype>
              <v:shape id="Text Box 3" o:spid="_x0000_s1026" type="#_x0000_t202" style="position:absolute;margin-left:1.4pt;margin-top:-58.6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" filled="f" stroked="f">
                <v:textbox inset="0,0,0,0">
                  <w:txbxContent>
                    <w:p w14:paraId="5348BBC8" w14:textId="15F5CD9D" w:rsidR="00D11A64" w:rsidRPr="002E249A" w:rsidRDefault="00903ADA" w:rsidP="002E249A">
                      <w:pPr>
                        <w:rPr>
                          <w:color w:val="000000" w:themeColor="text1"/>
                          <w:sz w:val="50"/>
                          <w:szCs w:val="50"/>
                        </w:rPr>
                      </w:pPr>
                      <w:r>
                        <w:rPr>
                          <w:rFonts w:ascii="Arial" w:hAnsi="Arial" w:cs="Arial"/>
                          <w:color w:val="000000" w:themeColor="text1"/>
                          <w:sz w:val="50"/>
                          <w:szCs w:val="50"/>
                        </w:rPr>
                        <w:t>Team Reflection</w:t>
                      </w:r>
                    </w:p>
                  </w:txbxContent>
                </v:textbox>
              </v:shape>
            </w:pict>
          </mc:Fallback>
        </mc:AlternateContent>
      </w:r>
      <w:r w:rsidR="00903ADA">
        <w:rPr>
          <w:rFonts w:ascii="Arial" w:hAnsi="Arial" w:cs="Arial"/>
          <w:b/>
          <w:noProof/>
          <w:sz w:val="32"/>
          <w:szCs w:val="32"/>
        </w:rPr>
        <w:t>No. 20: Education and Health</w:t>
      </w:r>
    </w:p>
    <w:p w14:paraId="68EB41C7" w14:textId="77777777" w:rsidR="00903ADA" w:rsidRPr="00903ADA" w:rsidRDefault="00903ADA" w:rsidP="00903ADA">
      <w:pPr>
        <w:spacing w:after="120" w:line="259" w:lineRule="auto"/>
        <w:rPr>
          <w:rFonts w:ascii="Arial" w:eastAsia="Times New Roman" w:hAnsi="Arial" w:cs="Arial"/>
          <w:sz w:val="24"/>
          <w:szCs w:val="24"/>
        </w:rPr>
      </w:pPr>
      <w:r w:rsidRPr="00903ADA">
        <w:rPr>
          <w:rFonts w:ascii="Arial" w:eastAsia="Times New Roman" w:hAnsi="Arial" w:cs="Arial"/>
          <w:sz w:val="24"/>
          <w:szCs w:val="24"/>
        </w:rPr>
        <w:t xml:space="preserve">Entering the U.S. at the age of four, Santiago </w:t>
      </w:r>
      <w:proofErr w:type="spellStart"/>
      <w:r w:rsidRPr="00903ADA">
        <w:rPr>
          <w:rFonts w:ascii="Arial" w:eastAsia="Times New Roman" w:hAnsi="Arial" w:cs="Arial"/>
          <w:sz w:val="24"/>
          <w:szCs w:val="24"/>
        </w:rPr>
        <w:t>Potes</w:t>
      </w:r>
      <w:proofErr w:type="spellEnd"/>
      <w:r w:rsidRPr="00903ADA">
        <w:rPr>
          <w:rFonts w:ascii="Arial" w:eastAsia="Times New Roman" w:hAnsi="Arial" w:cs="Arial"/>
          <w:sz w:val="24"/>
          <w:szCs w:val="24"/>
        </w:rPr>
        <w:t xml:space="preserve"> used to dream of higher education. As a DACA recipient, or “Dreamer,” this graduate of Columbia University saw his name in headlines in November 2020, when he was awarded the prestigious Rhodes Scholarship. Like </w:t>
      </w:r>
      <w:proofErr w:type="spellStart"/>
      <w:r w:rsidRPr="00903ADA">
        <w:rPr>
          <w:rFonts w:ascii="Arial" w:eastAsia="Times New Roman" w:hAnsi="Arial" w:cs="Arial"/>
          <w:sz w:val="24"/>
          <w:szCs w:val="24"/>
        </w:rPr>
        <w:t>Potes</w:t>
      </w:r>
      <w:proofErr w:type="spellEnd"/>
      <w:r w:rsidRPr="00903ADA">
        <w:rPr>
          <w:rFonts w:ascii="Arial" w:eastAsia="Times New Roman" w:hAnsi="Arial" w:cs="Arial"/>
          <w:sz w:val="24"/>
          <w:szCs w:val="24"/>
        </w:rPr>
        <w:t xml:space="preserve">, many individuals among historically marginalized populations may be the first in their families to break educational barriers.  </w:t>
      </w:r>
    </w:p>
    <w:p w14:paraId="61EF3F6E" w14:textId="166E4E52" w:rsidR="00903ADA" w:rsidRPr="00903ADA" w:rsidRDefault="00903ADA" w:rsidP="00903ADA">
      <w:pPr>
        <w:spacing w:after="120" w:line="259" w:lineRule="auto"/>
        <w:rPr>
          <w:rFonts w:ascii="Arial" w:eastAsia="Times New Roman" w:hAnsi="Arial" w:cs="Arial"/>
          <w:sz w:val="24"/>
          <w:szCs w:val="24"/>
        </w:rPr>
      </w:pPr>
      <w:r w:rsidRPr="00903ADA">
        <w:rPr>
          <w:rFonts w:ascii="Arial" w:eastAsia="Times New Roman" w:hAnsi="Arial" w:cs="Arial"/>
          <w:sz w:val="24"/>
          <w:szCs w:val="24"/>
        </w:rPr>
        <w:t xml:space="preserve">Education and health are intertwining factors that impact </w:t>
      </w:r>
      <w:r w:rsidR="00671749">
        <w:rPr>
          <w:rFonts w:ascii="Arial" w:eastAsia="Times New Roman" w:hAnsi="Arial" w:cs="Arial"/>
          <w:sz w:val="24"/>
          <w:szCs w:val="24"/>
        </w:rPr>
        <w:t xml:space="preserve">both </w:t>
      </w:r>
      <w:r w:rsidRPr="00903ADA">
        <w:rPr>
          <w:rFonts w:ascii="Arial" w:eastAsia="Times New Roman" w:hAnsi="Arial" w:cs="Arial"/>
          <w:sz w:val="24"/>
          <w:szCs w:val="24"/>
        </w:rPr>
        <w:t>individual and population well-being. Hundreds of studies in the past forty years document a type of causal “gradient” that reflects how more schooling links to better health and longer life. Education plays a key factor in health disparities</w:t>
      </w:r>
      <w:r w:rsidR="00FA02A3">
        <w:rPr>
          <w:rFonts w:ascii="Arial" w:eastAsia="Times New Roman" w:hAnsi="Arial" w:cs="Arial"/>
          <w:sz w:val="24"/>
          <w:szCs w:val="24"/>
        </w:rPr>
        <w:t>,</w:t>
      </w:r>
      <w:r w:rsidRPr="00903ADA">
        <w:rPr>
          <w:rFonts w:ascii="Arial" w:eastAsia="Times New Roman" w:hAnsi="Arial" w:cs="Arial"/>
          <w:sz w:val="24"/>
          <w:szCs w:val="24"/>
        </w:rPr>
        <w:t xml:space="preserve"> </w:t>
      </w:r>
      <w:r w:rsidR="00671749">
        <w:rPr>
          <w:rFonts w:ascii="Arial" w:eastAsia="Times New Roman" w:hAnsi="Arial" w:cs="Arial"/>
          <w:sz w:val="24"/>
          <w:szCs w:val="24"/>
        </w:rPr>
        <w:t>which</w:t>
      </w:r>
      <w:r w:rsidRPr="00903ADA">
        <w:rPr>
          <w:rFonts w:ascii="Arial" w:eastAsia="Times New Roman" w:hAnsi="Arial" w:cs="Arial"/>
          <w:sz w:val="24"/>
          <w:szCs w:val="24"/>
        </w:rPr>
        <w:t xml:space="preserve"> are the preventable differences in the burden of disease, injury, </w:t>
      </w:r>
      <w:proofErr w:type="gramStart"/>
      <w:r w:rsidRPr="00903ADA">
        <w:rPr>
          <w:rFonts w:ascii="Arial" w:eastAsia="Times New Roman" w:hAnsi="Arial" w:cs="Arial"/>
          <w:sz w:val="24"/>
          <w:szCs w:val="24"/>
        </w:rPr>
        <w:t>violence</w:t>
      </w:r>
      <w:proofErr w:type="gramEnd"/>
      <w:r w:rsidRPr="00903ADA">
        <w:rPr>
          <w:rFonts w:ascii="Arial" w:eastAsia="Times New Roman" w:hAnsi="Arial" w:cs="Arial"/>
          <w:sz w:val="24"/>
          <w:szCs w:val="24"/>
        </w:rPr>
        <w:t xml:space="preserve"> or other opportunities to achieve human flourishing and optimal health. The CDC reports </w:t>
      </w:r>
      <w:r w:rsidR="00FA02A3">
        <w:rPr>
          <w:rFonts w:ascii="Arial" w:eastAsia="Times New Roman" w:hAnsi="Arial" w:cs="Arial"/>
          <w:sz w:val="24"/>
          <w:szCs w:val="24"/>
        </w:rPr>
        <w:t>that</w:t>
      </w:r>
      <w:r w:rsidRPr="00903ADA">
        <w:rPr>
          <w:rFonts w:ascii="Arial" w:eastAsia="Times New Roman" w:hAnsi="Arial" w:cs="Arial"/>
          <w:sz w:val="24"/>
          <w:szCs w:val="24"/>
        </w:rPr>
        <w:t xml:space="preserve"> good health is associated with academic success </w:t>
      </w:r>
      <w:r w:rsidR="00FA02A3">
        <w:rPr>
          <w:rFonts w:ascii="Arial" w:eastAsia="Times New Roman" w:hAnsi="Arial" w:cs="Arial"/>
          <w:sz w:val="24"/>
          <w:szCs w:val="24"/>
        </w:rPr>
        <w:t>while</w:t>
      </w:r>
      <w:r w:rsidRPr="00903ADA">
        <w:rPr>
          <w:rFonts w:ascii="Arial" w:eastAsia="Times New Roman" w:hAnsi="Arial" w:cs="Arial"/>
          <w:sz w:val="24"/>
          <w:szCs w:val="24"/>
        </w:rPr>
        <w:t xml:space="preserve"> drooping out of school is associated with health and social problems. [20.1] </w:t>
      </w:r>
    </w:p>
    <w:p w14:paraId="596D83E2" w14:textId="20BF610E" w:rsidR="00903ADA" w:rsidRPr="00903ADA" w:rsidRDefault="00903ADA" w:rsidP="00903ADA">
      <w:pPr>
        <w:spacing w:after="120" w:line="259" w:lineRule="auto"/>
        <w:rPr>
          <w:rFonts w:ascii="Arial" w:eastAsia="Times New Roman" w:hAnsi="Arial" w:cs="Arial"/>
          <w:sz w:val="24"/>
          <w:szCs w:val="24"/>
        </w:rPr>
      </w:pPr>
      <w:r w:rsidRPr="00903ADA">
        <w:rPr>
          <w:rFonts w:ascii="Arial" w:eastAsia="Times New Roman" w:hAnsi="Arial" w:cs="Arial"/>
          <w:sz w:val="24"/>
          <w:szCs w:val="24"/>
        </w:rPr>
        <w:t>This linkage involves a constellation of factors. The most prominent are economic factors accounting for approximately one-third of the correlation. Health behaviors is a second factor, and include things such as exercise, a healthy diet and avoiding smoking. Social-psychological pathways are a third and include successful long-term marriages and other social supports that aid in coping with stressors in life. Lastly, researchers find access to health care plays a modest role in the correlation. [20.2]</w:t>
      </w:r>
    </w:p>
    <w:p w14:paraId="7B702B58" w14:textId="68FB1194" w:rsidR="00903ADA" w:rsidRDefault="00903ADA" w:rsidP="00903ADA">
      <w:pPr>
        <w:spacing w:after="120" w:line="259" w:lineRule="auto"/>
        <w:rPr>
          <w:rFonts w:ascii="Arial" w:eastAsia="Times New Roman" w:hAnsi="Arial" w:cs="Arial"/>
          <w:sz w:val="24"/>
          <w:szCs w:val="24"/>
        </w:rPr>
      </w:pPr>
      <w:r w:rsidRPr="00903ADA">
        <w:rPr>
          <w:rFonts w:ascii="Arial" w:eastAsia="Times New Roman" w:hAnsi="Arial" w:cs="Arial"/>
          <w:sz w:val="24"/>
          <w:szCs w:val="24"/>
        </w:rPr>
        <w:t>Racial and ethnic disparities in education mirror the disparities in socioeconomic status, as well as those in health outcomes and health</w:t>
      </w:r>
      <w:r w:rsidR="00FA02A3">
        <w:rPr>
          <w:rFonts w:ascii="Arial" w:eastAsia="Times New Roman" w:hAnsi="Arial" w:cs="Arial"/>
          <w:sz w:val="24"/>
          <w:szCs w:val="24"/>
        </w:rPr>
        <w:t xml:space="preserve"> </w:t>
      </w:r>
      <w:r w:rsidRPr="00903ADA">
        <w:rPr>
          <w:rFonts w:ascii="Arial" w:eastAsia="Times New Roman" w:hAnsi="Arial" w:cs="Arial"/>
          <w:sz w:val="24"/>
          <w:szCs w:val="24"/>
        </w:rPr>
        <w:t xml:space="preserve">care. [20.3] African Americans and Latinos are more likely to attend high-poverty schools than whites and Asians. High school dropout rates are highest among Latinos, followed by African Americans and then whites. [20.4] </w:t>
      </w:r>
    </w:p>
    <w:p w14:paraId="372BCF0D" w14:textId="22DCA13D" w:rsidR="00903ADA" w:rsidRPr="00903ADA" w:rsidRDefault="008F784D" w:rsidP="00903ADA">
      <w:pPr>
        <w:spacing w:after="120" w:line="259" w:lineRule="auto"/>
        <w:rPr>
          <w:rFonts w:ascii="Arial" w:eastAsia="Times New Roman" w:hAnsi="Arial" w:cs="Arial"/>
          <w:sz w:val="24"/>
          <w:szCs w:val="24"/>
        </w:rPr>
      </w:pPr>
      <w:r w:rsidRPr="00903ADA">
        <w:rPr>
          <w:rFonts w:ascii="Arial" w:eastAsia="Times New Roman" w:hAnsi="Arial" w:cs="Arial"/>
          <w:sz w:val="24"/>
          <w:szCs w:val="24"/>
        </w:rPr>
        <w:t xml:space="preserve">The inequities in both health and education are difficult to overcome and have a lasting impact. </w:t>
      </w:r>
      <w:r w:rsidR="00671749">
        <w:rPr>
          <w:rFonts w:ascii="Arial" w:eastAsia="Times New Roman" w:hAnsi="Arial" w:cs="Arial"/>
          <w:sz w:val="24"/>
          <w:szCs w:val="24"/>
        </w:rPr>
        <w:t>The previously</w:t>
      </w:r>
      <w:r w:rsidR="00903ADA" w:rsidRPr="00903ADA">
        <w:rPr>
          <w:rFonts w:ascii="Arial" w:eastAsia="Times New Roman" w:hAnsi="Arial" w:cs="Arial"/>
          <w:sz w:val="24"/>
          <w:szCs w:val="24"/>
        </w:rPr>
        <w:t xml:space="preserve"> discussed systemic inequities in mortgage lending and the impact to public school education</w:t>
      </w:r>
      <w:r w:rsidR="00671749">
        <w:rPr>
          <w:rFonts w:ascii="Arial" w:eastAsia="Times New Roman" w:hAnsi="Arial" w:cs="Arial"/>
          <w:sz w:val="24"/>
          <w:szCs w:val="24"/>
        </w:rPr>
        <w:t xml:space="preserve"> are significant here</w:t>
      </w:r>
      <w:r w:rsidR="00903ADA" w:rsidRPr="00903ADA">
        <w:rPr>
          <w:rFonts w:ascii="Arial" w:eastAsia="Times New Roman" w:hAnsi="Arial" w:cs="Arial"/>
          <w:sz w:val="24"/>
          <w:szCs w:val="24"/>
        </w:rPr>
        <w:t xml:space="preserve">. Research published by the Kaiser Family Foundation in 2021 reports Black and Hispanic Medicare beneficiaries overall have fewer years of formal education and lower median per capita income, </w:t>
      </w:r>
      <w:proofErr w:type="gramStart"/>
      <w:r w:rsidR="00903ADA" w:rsidRPr="00903ADA">
        <w:rPr>
          <w:rFonts w:ascii="Arial" w:eastAsia="Times New Roman" w:hAnsi="Arial" w:cs="Arial"/>
          <w:sz w:val="24"/>
          <w:szCs w:val="24"/>
        </w:rPr>
        <w:t>savings</w:t>
      </w:r>
      <w:proofErr w:type="gramEnd"/>
      <w:r w:rsidR="00903ADA" w:rsidRPr="00903ADA">
        <w:rPr>
          <w:rFonts w:ascii="Arial" w:eastAsia="Times New Roman" w:hAnsi="Arial" w:cs="Arial"/>
          <w:sz w:val="24"/>
          <w:szCs w:val="24"/>
        </w:rPr>
        <w:t xml:space="preserve"> and </w:t>
      </w:r>
      <w:r w:rsidR="00903ADA" w:rsidRPr="00903ADA">
        <w:rPr>
          <w:rFonts w:ascii="Arial" w:eastAsia="Times New Roman" w:hAnsi="Arial" w:cs="Arial"/>
          <w:sz w:val="24"/>
          <w:szCs w:val="24"/>
        </w:rPr>
        <w:lastRenderedPageBreak/>
        <w:t xml:space="preserve">home equity than white beneficiaries. Some gaps are narrowing. For example, differences in median per capita income among White, </w:t>
      </w:r>
      <w:proofErr w:type="gramStart"/>
      <w:r w:rsidR="00903ADA" w:rsidRPr="00903ADA">
        <w:rPr>
          <w:rFonts w:ascii="Arial" w:eastAsia="Times New Roman" w:hAnsi="Arial" w:cs="Arial"/>
          <w:sz w:val="24"/>
          <w:szCs w:val="24"/>
        </w:rPr>
        <w:t>Black</w:t>
      </w:r>
      <w:proofErr w:type="gramEnd"/>
      <w:r w:rsidR="00903ADA" w:rsidRPr="00903ADA">
        <w:rPr>
          <w:rFonts w:ascii="Arial" w:eastAsia="Times New Roman" w:hAnsi="Arial" w:cs="Arial"/>
          <w:sz w:val="24"/>
          <w:szCs w:val="24"/>
        </w:rPr>
        <w:t xml:space="preserve"> and Hispanic adults ages 65 and older are narrower among people with similar levels of education. [20.5]</w:t>
      </w:r>
    </w:p>
    <w:p w14:paraId="242ED7D6" w14:textId="77777777" w:rsidR="00903ADA" w:rsidRDefault="00903ADA" w:rsidP="00903ADA">
      <w:pPr>
        <w:spacing w:after="120" w:line="259" w:lineRule="auto"/>
        <w:rPr>
          <w:rFonts w:ascii="Arial" w:eastAsia="Times New Roman" w:hAnsi="Arial" w:cs="Arial"/>
          <w:sz w:val="24"/>
          <w:szCs w:val="24"/>
        </w:rPr>
      </w:pPr>
      <w:r w:rsidRPr="00903ADA">
        <w:rPr>
          <w:rFonts w:ascii="Arial" w:eastAsia="Times New Roman" w:hAnsi="Arial" w:cs="Arial"/>
          <w:sz w:val="24"/>
          <w:szCs w:val="24"/>
        </w:rPr>
        <w:t xml:space="preserve">While matters of health and education are complex, they show that comprehensive health equity and population health strategies merit collaborations with education leaders. A century ago, communities of religious women and men ran schools and hospitals. The American saint known affectionately as Mother Cabrini (1850-1917) established schools, </w:t>
      </w:r>
      <w:proofErr w:type="gramStart"/>
      <w:r w:rsidRPr="00903ADA">
        <w:rPr>
          <w:rFonts w:ascii="Arial" w:eastAsia="Times New Roman" w:hAnsi="Arial" w:cs="Arial"/>
          <w:sz w:val="24"/>
          <w:szCs w:val="24"/>
        </w:rPr>
        <w:t>hospitals</w:t>
      </w:r>
      <w:proofErr w:type="gramEnd"/>
      <w:r w:rsidRPr="00903ADA">
        <w:rPr>
          <w:rFonts w:ascii="Arial" w:eastAsia="Times New Roman" w:hAnsi="Arial" w:cs="Arial"/>
          <w:sz w:val="24"/>
          <w:szCs w:val="24"/>
        </w:rPr>
        <w:t xml:space="preserve"> and housing, with dozens dotting the American landscape from New York to the Rockies. There was an implicit sense that education and caring for the sick are both essential to the unfolding of justice and peace in society. As professional specialization and credentialing necessarily took hold in 1900s, this </w:t>
      </w:r>
      <w:proofErr w:type="gramStart"/>
      <w:r w:rsidRPr="00903ADA">
        <w:rPr>
          <w:rFonts w:ascii="Arial" w:eastAsia="Times New Roman" w:hAnsi="Arial" w:cs="Arial"/>
          <w:sz w:val="24"/>
          <w:szCs w:val="24"/>
        </w:rPr>
        <w:t>drove</w:t>
      </w:r>
      <w:proofErr w:type="gramEnd"/>
      <w:r w:rsidRPr="00903ADA">
        <w:rPr>
          <w:rFonts w:ascii="Arial" w:eastAsia="Times New Roman" w:hAnsi="Arial" w:cs="Arial"/>
          <w:sz w:val="24"/>
          <w:szCs w:val="24"/>
        </w:rPr>
        <w:t xml:space="preserve"> a wedge between these ministries. </w:t>
      </w:r>
    </w:p>
    <w:p w14:paraId="74F0C868" w14:textId="2FF9C143" w:rsidR="00903ADA" w:rsidRPr="00903ADA" w:rsidRDefault="00903ADA" w:rsidP="00903ADA">
      <w:pPr>
        <w:spacing w:after="120" w:line="259" w:lineRule="auto"/>
        <w:rPr>
          <w:rFonts w:ascii="Arial" w:eastAsia="Times New Roman" w:hAnsi="Arial" w:cs="Arial"/>
          <w:sz w:val="24"/>
          <w:szCs w:val="24"/>
        </w:rPr>
      </w:pPr>
      <w:r w:rsidRPr="00903ADA">
        <w:rPr>
          <w:rFonts w:ascii="Arial" w:eastAsia="Times New Roman" w:hAnsi="Arial" w:cs="Arial"/>
          <w:sz w:val="24"/>
          <w:szCs w:val="24"/>
        </w:rPr>
        <w:t>Remnants remain, however. Resurrection Sister</w:t>
      </w:r>
      <w:r>
        <w:rPr>
          <w:rFonts w:ascii="Arial" w:eastAsia="Times New Roman" w:hAnsi="Arial" w:cs="Arial"/>
          <w:sz w:val="24"/>
          <w:szCs w:val="24"/>
        </w:rPr>
        <w:t xml:space="preserve"> </w:t>
      </w:r>
      <w:r w:rsidRPr="00903ADA">
        <w:rPr>
          <w:rFonts w:ascii="Arial" w:eastAsia="Times New Roman" w:hAnsi="Arial" w:cs="Arial"/>
          <w:sz w:val="24"/>
          <w:szCs w:val="24"/>
        </w:rPr>
        <w:t xml:space="preserve">Donna </w:t>
      </w:r>
      <w:proofErr w:type="spellStart"/>
      <w:r w:rsidRPr="00903ADA">
        <w:rPr>
          <w:rFonts w:ascii="Arial" w:eastAsia="Times New Roman" w:hAnsi="Arial" w:cs="Arial"/>
          <w:sz w:val="24"/>
          <w:szCs w:val="24"/>
        </w:rPr>
        <w:t>Wolowicki</w:t>
      </w:r>
      <w:proofErr w:type="spellEnd"/>
      <w:r w:rsidRPr="00903ADA">
        <w:rPr>
          <w:rFonts w:ascii="Arial" w:eastAsia="Times New Roman" w:hAnsi="Arial" w:cs="Arial"/>
          <w:sz w:val="24"/>
          <w:szCs w:val="24"/>
        </w:rPr>
        <w:t xml:space="preserve">, a former hospital CEO and later president of </w:t>
      </w:r>
      <w:r w:rsidR="00FA02A3">
        <w:rPr>
          <w:rFonts w:ascii="Arial" w:eastAsia="Times New Roman" w:hAnsi="Arial" w:cs="Arial"/>
          <w:sz w:val="24"/>
          <w:szCs w:val="24"/>
        </w:rPr>
        <w:t>her</w:t>
      </w:r>
      <w:r w:rsidRPr="00903ADA">
        <w:rPr>
          <w:rFonts w:ascii="Arial" w:eastAsia="Times New Roman" w:hAnsi="Arial" w:cs="Arial"/>
          <w:sz w:val="24"/>
          <w:szCs w:val="24"/>
        </w:rPr>
        <w:t xml:space="preserve"> congregation’s all-girls high school across the street, inspired students by founding the Scrub Club. Today</w:t>
      </w:r>
      <w:r w:rsidR="00FA02A3">
        <w:rPr>
          <w:rFonts w:ascii="Arial" w:eastAsia="Times New Roman" w:hAnsi="Arial" w:cs="Arial"/>
          <w:sz w:val="24"/>
          <w:szCs w:val="24"/>
        </w:rPr>
        <w:t xml:space="preserve"> </w:t>
      </w:r>
      <w:r w:rsidRPr="00903ADA">
        <w:rPr>
          <w:rFonts w:ascii="Arial" w:eastAsia="Times New Roman" w:hAnsi="Arial" w:cs="Arial"/>
          <w:sz w:val="24"/>
          <w:szCs w:val="24"/>
        </w:rPr>
        <w:t xml:space="preserve">it is part of a job shadowing program. The young women meet with women physicians, executives and other health and science professionals. Elsewhere, the </w:t>
      </w:r>
      <w:proofErr w:type="spellStart"/>
      <w:r w:rsidRPr="00903ADA">
        <w:rPr>
          <w:rFonts w:ascii="Arial" w:eastAsia="Times New Roman" w:hAnsi="Arial" w:cs="Arial"/>
          <w:sz w:val="24"/>
          <w:szCs w:val="24"/>
        </w:rPr>
        <w:t>Felician</w:t>
      </w:r>
      <w:proofErr w:type="spellEnd"/>
      <w:r w:rsidRPr="00903ADA">
        <w:rPr>
          <w:rFonts w:ascii="Arial" w:eastAsia="Times New Roman" w:hAnsi="Arial" w:cs="Arial"/>
          <w:sz w:val="24"/>
          <w:szCs w:val="24"/>
        </w:rPr>
        <w:t xml:space="preserve"> Sisters sponsor and manage ministries spanning early childhood and higher education, to social services and senior living. Most sponsors of health ministries no longer span such vast differences across education and health together, but rather</w:t>
      </w:r>
      <w:r w:rsidR="00FA02A3">
        <w:rPr>
          <w:rFonts w:ascii="Arial" w:eastAsia="Times New Roman" w:hAnsi="Arial" w:cs="Arial"/>
          <w:sz w:val="24"/>
          <w:szCs w:val="24"/>
        </w:rPr>
        <w:t>,</w:t>
      </w:r>
      <w:r w:rsidRPr="00903ADA">
        <w:rPr>
          <w:rFonts w:ascii="Arial" w:eastAsia="Times New Roman" w:hAnsi="Arial" w:cs="Arial"/>
          <w:sz w:val="24"/>
          <w:szCs w:val="24"/>
        </w:rPr>
        <w:t xml:space="preserve"> pursue a holistic vision </w:t>
      </w:r>
      <w:r w:rsidR="008F784D">
        <w:rPr>
          <w:rFonts w:ascii="Arial" w:eastAsia="Times New Roman" w:hAnsi="Arial" w:cs="Arial"/>
          <w:sz w:val="24"/>
          <w:szCs w:val="24"/>
        </w:rPr>
        <w:t xml:space="preserve">of </w:t>
      </w:r>
      <w:r w:rsidRPr="00903ADA">
        <w:rPr>
          <w:rFonts w:ascii="Arial" w:eastAsia="Times New Roman" w:hAnsi="Arial" w:cs="Arial"/>
          <w:sz w:val="24"/>
          <w:szCs w:val="24"/>
        </w:rPr>
        <w:t xml:space="preserve">human flourishing by cross-sector alignment and collaborative partnerships to advance health and education well-being in our communities.  </w:t>
      </w:r>
    </w:p>
    <w:p w14:paraId="5445293A" w14:textId="77777777" w:rsidR="00903ADA" w:rsidRPr="00903ADA" w:rsidRDefault="00903ADA" w:rsidP="00903ADA">
      <w:pPr>
        <w:spacing w:after="120" w:line="259" w:lineRule="auto"/>
        <w:rPr>
          <w:rFonts w:ascii="Arial" w:eastAsia="Times New Roman" w:hAnsi="Arial" w:cs="Arial"/>
          <w:b/>
          <w:bCs/>
          <w:sz w:val="24"/>
          <w:szCs w:val="24"/>
        </w:rPr>
      </w:pPr>
      <w:r w:rsidRPr="00903ADA">
        <w:rPr>
          <w:rFonts w:ascii="Arial" w:eastAsia="Times New Roman" w:hAnsi="Arial" w:cs="Arial"/>
          <w:b/>
          <w:bCs/>
          <w:sz w:val="24"/>
          <w:szCs w:val="24"/>
        </w:rPr>
        <w:t>Consider</w:t>
      </w:r>
    </w:p>
    <w:p w14:paraId="7C4B8230" w14:textId="77777777" w:rsidR="00903ADA" w:rsidRPr="00903ADA" w:rsidRDefault="00903ADA" w:rsidP="00903ADA">
      <w:pPr>
        <w:pStyle w:val="ListParagraph"/>
        <w:numPr>
          <w:ilvl w:val="0"/>
          <w:numId w:val="1"/>
        </w:numPr>
        <w:spacing w:after="120" w:line="259" w:lineRule="auto"/>
        <w:rPr>
          <w:rFonts w:ascii="Arial" w:eastAsia="Times New Roman" w:hAnsi="Arial" w:cs="Arial"/>
          <w:sz w:val="24"/>
          <w:szCs w:val="24"/>
        </w:rPr>
      </w:pPr>
      <w:r w:rsidRPr="00903ADA">
        <w:rPr>
          <w:rFonts w:ascii="Arial" w:eastAsia="Times New Roman" w:hAnsi="Arial" w:cs="Arial"/>
          <w:sz w:val="24"/>
          <w:szCs w:val="24"/>
        </w:rPr>
        <w:t xml:space="preserve">Where might you see gaps between health outcomes and education in the people you serve or in your community? </w:t>
      </w:r>
    </w:p>
    <w:p w14:paraId="45A25D49" w14:textId="77777777" w:rsidR="00903ADA" w:rsidRPr="00903ADA" w:rsidRDefault="00903ADA" w:rsidP="00903ADA">
      <w:pPr>
        <w:pStyle w:val="ListParagraph"/>
        <w:numPr>
          <w:ilvl w:val="0"/>
          <w:numId w:val="1"/>
        </w:numPr>
        <w:spacing w:after="120" w:line="259" w:lineRule="auto"/>
        <w:rPr>
          <w:rFonts w:ascii="Arial" w:eastAsia="Times New Roman" w:hAnsi="Arial" w:cs="Arial"/>
          <w:sz w:val="24"/>
          <w:szCs w:val="24"/>
        </w:rPr>
      </w:pPr>
      <w:r w:rsidRPr="00903ADA">
        <w:rPr>
          <w:rFonts w:ascii="Arial" w:eastAsia="Times New Roman" w:hAnsi="Arial" w:cs="Arial"/>
          <w:sz w:val="24"/>
          <w:szCs w:val="24"/>
        </w:rPr>
        <w:t xml:space="preserve">Are there initiatives and partnerships between my hospital or health system and educational institutions that support equitable strategies in the community?  </w:t>
      </w:r>
    </w:p>
    <w:p w14:paraId="6B6E649B" w14:textId="58B3E1F8" w:rsidR="00903ADA" w:rsidRDefault="00903ADA" w:rsidP="00903ADA">
      <w:pPr>
        <w:pStyle w:val="ListParagraph"/>
        <w:numPr>
          <w:ilvl w:val="0"/>
          <w:numId w:val="1"/>
        </w:numPr>
        <w:spacing w:after="120" w:line="259" w:lineRule="auto"/>
        <w:rPr>
          <w:rFonts w:ascii="Arial" w:eastAsia="Times New Roman" w:hAnsi="Arial" w:cs="Arial"/>
          <w:sz w:val="24"/>
          <w:szCs w:val="24"/>
        </w:rPr>
      </w:pPr>
      <w:r w:rsidRPr="00903ADA">
        <w:rPr>
          <w:rFonts w:ascii="Arial" w:eastAsia="Times New Roman" w:hAnsi="Arial" w:cs="Arial"/>
          <w:sz w:val="24"/>
          <w:szCs w:val="24"/>
        </w:rPr>
        <w:t xml:space="preserve">How does my own educational attainment impact my opportunities for human flourishing? </w:t>
      </w:r>
    </w:p>
    <w:p w14:paraId="66508DB1" w14:textId="77777777" w:rsidR="00FA02A3" w:rsidRDefault="00FA02A3" w:rsidP="00903ADA">
      <w:pPr>
        <w:spacing w:after="120" w:line="259" w:lineRule="auto"/>
        <w:rPr>
          <w:rFonts w:ascii="Arial" w:eastAsia="Times New Roman" w:hAnsi="Arial" w:cs="Arial"/>
          <w:b/>
          <w:bCs/>
          <w:sz w:val="24"/>
          <w:szCs w:val="24"/>
        </w:rPr>
      </w:pPr>
    </w:p>
    <w:p w14:paraId="21E38C7E" w14:textId="1B78047A" w:rsidR="008F784D" w:rsidRDefault="00903ADA" w:rsidP="00903ADA">
      <w:pPr>
        <w:spacing w:after="120" w:line="259" w:lineRule="auto"/>
        <w:rPr>
          <w:rFonts w:ascii="Arial" w:eastAsia="Times New Roman" w:hAnsi="Arial" w:cs="Arial"/>
          <w:b/>
          <w:bCs/>
          <w:sz w:val="24"/>
          <w:szCs w:val="24"/>
        </w:rPr>
      </w:pPr>
      <w:r w:rsidRPr="00903ADA">
        <w:rPr>
          <w:rFonts w:ascii="Arial" w:eastAsia="Times New Roman" w:hAnsi="Arial" w:cs="Arial"/>
          <w:b/>
          <w:bCs/>
          <w:sz w:val="24"/>
          <w:szCs w:val="24"/>
        </w:rPr>
        <w:lastRenderedPageBreak/>
        <w:t>Let us pray together</w:t>
      </w:r>
      <w:r>
        <w:rPr>
          <w:rFonts w:ascii="Arial" w:eastAsia="Times New Roman" w:hAnsi="Arial" w:cs="Arial"/>
          <w:b/>
          <w:bCs/>
          <w:sz w:val="24"/>
          <w:szCs w:val="24"/>
        </w:rPr>
        <w:t>,</w:t>
      </w:r>
    </w:p>
    <w:p w14:paraId="3D44FCE5" w14:textId="45CB4359" w:rsidR="00903ADA" w:rsidRPr="008F784D" w:rsidRDefault="00903ADA" w:rsidP="00903ADA">
      <w:pPr>
        <w:spacing w:after="120" w:line="259" w:lineRule="auto"/>
        <w:rPr>
          <w:rFonts w:ascii="Arial" w:eastAsia="Times New Roman" w:hAnsi="Arial" w:cs="Arial"/>
          <w:b/>
          <w:bCs/>
          <w:sz w:val="24"/>
          <w:szCs w:val="24"/>
        </w:rPr>
      </w:pPr>
      <w:r w:rsidRPr="00903ADA">
        <w:rPr>
          <w:rFonts w:ascii="Arial" w:eastAsia="Times New Roman" w:hAnsi="Arial" w:cs="Arial"/>
          <w:i/>
          <w:iCs/>
          <w:sz w:val="24"/>
          <w:szCs w:val="24"/>
        </w:rPr>
        <w:t xml:space="preserve">Divine Teacher and Source of health and life, </w:t>
      </w:r>
    </w:p>
    <w:p w14:paraId="1AA6A4E6" w14:textId="77777777" w:rsidR="00903ADA" w:rsidRPr="00903ADA" w:rsidRDefault="00903ADA" w:rsidP="00903ADA">
      <w:pPr>
        <w:spacing w:after="120" w:line="259" w:lineRule="auto"/>
        <w:rPr>
          <w:rFonts w:ascii="Arial" w:eastAsia="Times New Roman" w:hAnsi="Arial" w:cs="Arial"/>
          <w:i/>
          <w:iCs/>
          <w:sz w:val="24"/>
          <w:szCs w:val="24"/>
        </w:rPr>
      </w:pPr>
      <w:r w:rsidRPr="00903ADA">
        <w:rPr>
          <w:rFonts w:ascii="Arial" w:eastAsia="Times New Roman" w:hAnsi="Arial" w:cs="Arial"/>
          <w:i/>
          <w:iCs/>
          <w:sz w:val="24"/>
          <w:szCs w:val="24"/>
        </w:rPr>
        <w:t xml:space="preserve">Fill us with a deep affection and concern to </w:t>
      </w:r>
      <w:proofErr w:type="gramStart"/>
      <w:r w:rsidRPr="00903ADA">
        <w:rPr>
          <w:rFonts w:ascii="Arial" w:eastAsia="Times New Roman" w:hAnsi="Arial" w:cs="Arial"/>
          <w:i/>
          <w:iCs/>
          <w:sz w:val="24"/>
          <w:szCs w:val="24"/>
        </w:rPr>
        <w:t>more fully care for one another</w:t>
      </w:r>
      <w:proofErr w:type="gramEnd"/>
      <w:r w:rsidRPr="00903ADA">
        <w:rPr>
          <w:rFonts w:ascii="Arial" w:eastAsia="Times New Roman" w:hAnsi="Arial" w:cs="Arial"/>
          <w:i/>
          <w:iCs/>
          <w:sz w:val="24"/>
          <w:szCs w:val="24"/>
        </w:rPr>
        <w:t xml:space="preserve">. </w:t>
      </w:r>
    </w:p>
    <w:p w14:paraId="0610DEE1" w14:textId="77777777" w:rsidR="00903ADA" w:rsidRPr="00903ADA" w:rsidRDefault="00903ADA" w:rsidP="00903ADA">
      <w:pPr>
        <w:spacing w:after="120" w:line="259" w:lineRule="auto"/>
        <w:rPr>
          <w:rFonts w:ascii="Arial" w:eastAsia="Times New Roman" w:hAnsi="Arial" w:cs="Arial"/>
          <w:i/>
          <w:iCs/>
          <w:sz w:val="24"/>
          <w:szCs w:val="24"/>
        </w:rPr>
      </w:pPr>
      <w:r w:rsidRPr="00903ADA">
        <w:rPr>
          <w:rFonts w:ascii="Arial" w:eastAsia="Times New Roman" w:hAnsi="Arial" w:cs="Arial"/>
          <w:i/>
          <w:iCs/>
          <w:sz w:val="24"/>
          <w:szCs w:val="24"/>
        </w:rPr>
        <w:t xml:space="preserve">May we walk with mercy alongside those entrusted to our care, </w:t>
      </w:r>
    </w:p>
    <w:p w14:paraId="5043109D" w14:textId="77777777" w:rsidR="00903ADA" w:rsidRPr="00903ADA" w:rsidRDefault="00903ADA" w:rsidP="00903ADA">
      <w:pPr>
        <w:spacing w:after="120" w:line="259" w:lineRule="auto"/>
        <w:rPr>
          <w:rFonts w:ascii="Arial" w:eastAsia="Times New Roman" w:hAnsi="Arial" w:cs="Arial"/>
          <w:i/>
          <w:iCs/>
          <w:sz w:val="24"/>
          <w:szCs w:val="24"/>
        </w:rPr>
      </w:pPr>
      <w:r w:rsidRPr="00903ADA">
        <w:rPr>
          <w:rFonts w:ascii="Arial" w:eastAsia="Times New Roman" w:hAnsi="Arial" w:cs="Arial"/>
          <w:i/>
          <w:iCs/>
          <w:sz w:val="24"/>
          <w:szCs w:val="24"/>
        </w:rPr>
        <w:t xml:space="preserve">so that we may be sources of your healing presence in our communities today.  Amen.  </w:t>
      </w:r>
    </w:p>
    <w:p w14:paraId="37E13DB0" w14:textId="77777777" w:rsidR="00903ADA" w:rsidRPr="00903ADA" w:rsidRDefault="00903ADA" w:rsidP="00903ADA">
      <w:pPr>
        <w:spacing w:after="120" w:line="259" w:lineRule="auto"/>
        <w:rPr>
          <w:rFonts w:ascii="Arial" w:eastAsia="Times New Roman" w:hAnsi="Arial" w:cs="Arial"/>
          <w:i/>
          <w:iCs/>
          <w:sz w:val="24"/>
          <w:szCs w:val="24"/>
        </w:rPr>
      </w:pPr>
    </w:p>
    <w:p w14:paraId="57085CEE" w14:textId="77777777" w:rsidR="00903ADA" w:rsidRPr="00903ADA" w:rsidRDefault="00903ADA" w:rsidP="00903ADA">
      <w:pPr>
        <w:spacing w:after="120" w:line="259" w:lineRule="auto"/>
        <w:rPr>
          <w:rFonts w:ascii="Arial" w:eastAsia="Times New Roman" w:hAnsi="Arial" w:cs="Arial"/>
          <w:sz w:val="24"/>
          <w:szCs w:val="24"/>
        </w:rPr>
      </w:pPr>
    </w:p>
    <w:p w14:paraId="3065E30A" w14:textId="77777777" w:rsidR="00903ADA" w:rsidRDefault="00903ADA" w:rsidP="00903ADA">
      <w:pPr>
        <w:spacing w:after="120" w:line="259" w:lineRule="auto"/>
        <w:rPr>
          <w:rFonts w:ascii="Arial" w:eastAsia="Times New Roman" w:hAnsi="Arial" w:cs="Arial"/>
          <w:sz w:val="20"/>
          <w:szCs w:val="20"/>
        </w:rPr>
      </w:pPr>
    </w:p>
    <w:p w14:paraId="216D19D2" w14:textId="77777777" w:rsidR="00903ADA" w:rsidRDefault="00903ADA" w:rsidP="00903ADA">
      <w:pPr>
        <w:spacing w:after="120" w:line="259" w:lineRule="auto"/>
        <w:rPr>
          <w:rFonts w:ascii="Arial" w:eastAsia="Times New Roman" w:hAnsi="Arial" w:cs="Arial"/>
          <w:sz w:val="20"/>
          <w:szCs w:val="20"/>
        </w:rPr>
      </w:pPr>
    </w:p>
    <w:p w14:paraId="79B29100" w14:textId="77777777" w:rsidR="00903ADA" w:rsidRDefault="00903ADA" w:rsidP="00903ADA">
      <w:pPr>
        <w:spacing w:after="120" w:line="259" w:lineRule="auto"/>
        <w:rPr>
          <w:rFonts w:ascii="Arial" w:eastAsia="Times New Roman" w:hAnsi="Arial" w:cs="Arial"/>
          <w:sz w:val="20"/>
          <w:szCs w:val="20"/>
        </w:rPr>
      </w:pPr>
    </w:p>
    <w:p w14:paraId="6E9E2F2B" w14:textId="77777777" w:rsidR="00903ADA" w:rsidRDefault="00903ADA" w:rsidP="00903ADA">
      <w:pPr>
        <w:spacing w:after="120" w:line="259" w:lineRule="auto"/>
        <w:rPr>
          <w:rFonts w:ascii="Arial" w:eastAsia="Times New Roman" w:hAnsi="Arial" w:cs="Arial"/>
          <w:sz w:val="20"/>
          <w:szCs w:val="20"/>
        </w:rPr>
      </w:pPr>
    </w:p>
    <w:p w14:paraId="06C051A6" w14:textId="77777777" w:rsidR="00903ADA" w:rsidRDefault="00903ADA" w:rsidP="00903ADA">
      <w:pPr>
        <w:spacing w:after="120" w:line="259" w:lineRule="auto"/>
        <w:rPr>
          <w:rFonts w:ascii="Arial" w:eastAsia="Times New Roman" w:hAnsi="Arial" w:cs="Arial"/>
          <w:sz w:val="20"/>
          <w:szCs w:val="20"/>
        </w:rPr>
      </w:pPr>
    </w:p>
    <w:p w14:paraId="43DAF4FB" w14:textId="77777777" w:rsidR="00903ADA" w:rsidRDefault="00903ADA" w:rsidP="00903ADA">
      <w:pPr>
        <w:spacing w:after="120" w:line="259" w:lineRule="auto"/>
        <w:rPr>
          <w:rFonts w:ascii="Arial" w:eastAsia="Times New Roman" w:hAnsi="Arial" w:cs="Arial"/>
          <w:sz w:val="20"/>
          <w:szCs w:val="20"/>
        </w:rPr>
      </w:pPr>
    </w:p>
    <w:p w14:paraId="73FD9CA2" w14:textId="77777777" w:rsidR="00903ADA" w:rsidRDefault="00903ADA" w:rsidP="00903ADA">
      <w:pPr>
        <w:spacing w:after="120" w:line="259" w:lineRule="auto"/>
        <w:rPr>
          <w:rFonts w:ascii="Arial" w:eastAsia="Times New Roman" w:hAnsi="Arial" w:cs="Arial"/>
          <w:sz w:val="20"/>
          <w:szCs w:val="20"/>
        </w:rPr>
      </w:pPr>
    </w:p>
    <w:p w14:paraId="2F9232BD" w14:textId="77777777" w:rsidR="00903ADA" w:rsidRDefault="00903ADA" w:rsidP="00903ADA">
      <w:pPr>
        <w:spacing w:after="120" w:line="259" w:lineRule="auto"/>
        <w:rPr>
          <w:rFonts w:ascii="Arial" w:eastAsia="Times New Roman" w:hAnsi="Arial" w:cs="Arial"/>
          <w:sz w:val="20"/>
          <w:szCs w:val="20"/>
        </w:rPr>
      </w:pPr>
    </w:p>
    <w:p w14:paraId="28C1072B" w14:textId="3F6E302A" w:rsidR="00903ADA" w:rsidRDefault="00903ADA" w:rsidP="00903ADA">
      <w:pPr>
        <w:spacing w:after="120" w:line="259"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013A89C9" wp14:editId="04D7552F">
                <wp:simplePos x="0" y="0"/>
                <wp:positionH relativeFrom="column">
                  <wp:posOffset>-12700</wp:posOffset>
                </wp:positionH>
                <wp:positionV relativeFrom="paragraph">
                  <wp:posOffset>247650</wp:posOffset>
                </wp:positionV>
                <wp:extent cx="3784600" cy="1270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3784600" cy="127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FB45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9.5pt" to="29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" strokecolor="black [3213]" strokeweight=".5pt"/>
            </w:pict>
          </mc:Fallback>
        </mc:AlternateContent>
      </w:r>
    </w:p>
    <w:p w14:paraId="09389BD4" w14:textId="77777777" w:rsidR="00903ADA" w:rsidRDefault="00903ADA" w:rsidP="00903ADA">
      <w:pPr>
        <w:spacing w:after="120" w:line="259" w:lineRule="auto"/>
        <w:rPr>
          <w:rFonts w:ascii="Arial" w:eastAsia="Times New Roman" w:hAnsi="Arial" w:cs="Arial"/>
          <w:sz w:val="20"/>
          <w:szCs w:val="20"/>
        </w:rPr>
      </w:pPr>
    </w:p>
    <w:p w14:paraId="76E2080D" w14:textId="103CD809" w:rsidR="00903ADA" w:rsidRPr="00903ADA" w:rsidRDefault="00903ADA" w:rsidP="00903ADA">
      <w:pPr>
        <w:spacing w:after="120" w:line="259" w:lineRule="auto"/>
        <w:rPr>
          <w:rFonts w:ascii="Arial" w:eastAsia="Times New Roman" w:hAnsi="Arial" w:cs="Arial"/>
          <w:sz w:val="20"/>
          <w:szCs w:val="20"/>
        </w:rPr>
      </w:pPr>
      <w:r w:rsidRPr="00903ADA">
        <w:rPr>
          <w:rFonts w:ascii="Arial" w:eastAsia="Times New Roman" w:hAnsi="Arial" w:cs="Arial"/>
          <w:sz w:val="20"/>
          <w:szCs w:val="20"/>
        </w:rPr>
        <w:t xml:space="preserve">[20.1] </w:t>
      </w:r>
      <w:hyperlink r:id="rId7" w:history="1">
        <w:r w:rsidRPr="00903ADA">
          <w:rPr>
            <w:rFonts w:ascii="Arial" w:eastAsia="Times New Roman" w:hAnsi="Arial" w:cs="Arial"/>
            <w:color w:val="0563C1"/>
            <w:sz w:val="20"/>
            <w:szCs w:val="20"/>
            <w:u w:val="single"/>
          </w:rPr>
          <w:t>https://www.cdc.gov/healthyyouth/disparities/index.htm</w:t>
        </w:r>
      </w:hyperlink>
      <w:r w:rsidRPr="00903ADA">
        <w:rPr>
          <w:rFonts w:ascii="Arial" w:eastAsia="Times New Roman" w:hAnsi="Arial" w:cs="Arial"/>
          <w:sz w:val="20"/>
          <w:szCs w:val="20"/>
        </w:rPr>
        <w:t xml:space="preserve"> </w:t>
      </w:r>
    </w:p>
    <w:p w14:paraId="534731BF" w14:textId="77777777" w:rsidR="00903ADA" w:rsidRPr="00903ADA" w:rsidRDefault="00903ADA" w:rsidP="00903ADA">
      <w:pPr>
        <w:spacing w:after="120" w:line="259" w:lineRule="auto"/>
        <w:rPr>
          <w:rFonts w:ascii="Arial" w:eastAsia="Times New Roman" w:hAnsi="Arial" w:cs="Arial"/>
          <w:sz w:val="20"/>
          <w:szCs w:val="20"/>
        </w:rPr>
      </w:pPr>
      <w:r w:rsidRPr="00903ADA">
        <w:rPr>
          <w:rFonts w:ascii="Arial" w:eastAsia="Times New Roman" w:hAnsi="Arial" w:cs="Arial"/>
          <w:sz w:val="20"/>
          <w:szCs w:val="20"/>
        </w:rPr>
        <w:t xml:space="preserve">[20.2] </w:t>
      </w:r>
      <w:proofErr w:type="spellStart"/>
      <w:r w:rsidRPr="00903ADA">
        <w:rPr>
          <w:rFonts w:ascii="Arial" w:eastAsia="Times New Roman" w:hAnsi="Arial" w:cs="Arial"/>
          <w:sz w:val="20"/>
          <w:szCs w:val="20"/>
        </w:rPr>
        <w:t>Zajacova</w:t>
      </w:r>
      <w:proofErr w:type="spellEnd"/>
      <w:r w:rsidRPr="00903ADA">
        <w:rPr>
          <w:rFonts w:ascii="Arial" w:eastAsia="Times New Roman" w:hAnsi="Arial" w:cs="Arial"/>
          <w:sz w:val="20"/>
          <w:szCs w:val="20"/>
        </w:rPr>
        <w:t xml:space="preserve"> A, Lawrence EM. The Relationship Between Education and Health: Reducing Disparities Through a Contextual Approach. </w:t>
      </w:r>
      <w:proofErr w:type="spellStart"/>
      <w:r w:rsidRPr="00903ADA">
        <w:rPr>
          <w:rFonts w:ascii="Arial" w:eastAsia="Times New Roman" w:hAnsi="Arial" w:cs="Arial"/>
          <w:i/>
          <w:iCs/>
          <w:sz w:val="20"/>
          <w:szCs w:val="20"/>
        </w:rPr>
        <w:t>Annu</w:t>
      </w:r>
      <w:proofErr w:type="spellEnd"/>
      <w:r w:rsidRPr="00903ADA">
        <w:rPr>
          <w:rFonts w:ascii="Arial" w:eastAsia="Times New Roman" w:hAnsi="Arial" w:cs="Arial"/>
          <w:i/>
          <w:iCs/>
          <w:sz w:val="20"/>
          <w:szCs w:val="20"/>
        </w:rPr>
        <w:t xml:space="preserve"> Rev Public Health</w:t>
      </w:r>
      <w:r w:rsidRPr="00903ADA">
        <w:rPr>
          <w:rFonts w:ascii="Arial" w:eastAsia="Times New Roman" w:hAnsi="Arial" w:cs="Arial"/>
          <w:sz w:val="20"/>
          <w:szCs w:val="20"/>
        </w:rPr>
        <w:t xml:space="preserve">. </w:t>
      </w:r>
      <w:proofErr w:type="gramStart"/>
      <w:r w:rsidRPr="00903ADA">
        <w:rPr>
          <w:rFonts w:ascii="Arial" w:eastAsia="Times New Roman" w:hAnsi="Arial" w:cs="Arial"/>
          <w:sz w:val="20"/>
          <w:szCs w:val="20"/>
        </w:rPr>
        <w:t>2018;39:273</w:t>
      </w:r>
      <w:proofErr w:type="gramEnd"/>
      <w:r w:rsidRPr="00903ADA">
        <w:rPr>
          <w:rFonts w:ascii="Arial" w:eastAsia="Times New Roman" w:hAnsi="Arial" w:cs="Arial"/>
          <w:sz w:val="20"/>
          <w:szCs w:val="20"/>
        </w:rPr>
        <w:t xml:space="preserve">-289. doi:10.1146/annurev-publhealth-031816-044628, and </w:t>
      </w:r>
      <w:hyperlink r:id="rId8" w:history="1">
        <w:r w:rsidRPr="00903ADA">
          <w:rPr>
            <w:rFonts w:ascii="Arial" w:eastAsia="Times New Roman" w:hAnsi="Arial" w:cs="Arial"/>
            <w:color w:val="0563C1"/>
            <w:sz w:val="20"/>
            <w:szCs w:val="20"/>
            <w:u w:val="single"/>
          </w:rPr>
          <w:t>https://www.ncbi.nlm.nih.gov/pmc/articles/PMC5880718/</w:t>
        </w:r>
      </w:hyperlink>
    </w:p>
    <w:p w14:paraId="2209926D" w14:textId="77777777" w:rsidR="00903ADA" w:rsidRPr="00903ADA" w:rsidRDefault="00903ADA" w:rsidP="00903ADA">
      <w:pPr>
        <w:spacing w:after="120" w:line="259" w:lineRule="auto"/>
        <w:rPr>
          <w:rFonts w:ascii="Arial" w:eastAsia="Times New Roman" w:hAnsi="Arial" w:cs="Arial"/>
          <w:sz w:val="20"/>
          <w:szCs w:val="20"/>
        </w:rPr>
      </w:pPr>
      <w:r w:rsidRPr="00903ADA">
        <w:rPr>
          <w:rFonts w:ascii="Arial" w:eastAsia="Times New Roman" w:hAnsi="Arial" w:cs="Arial"/>
          <w:sz w:val="20"/>
          <w:szCs w:val="20"/>
        </w:rPr>
        <w:t xml:space="preserve">[20.3]  </w:t>
      </w:r>
      <w:hyperlink r:id="rId9" w:history="1">
        <w:r w:rsidRPr="00903ADA">
          <w:rPr>
            <w:rFonts w:ascii="Arial" w:eastAsia="Times New Roman" w:hAnsi="Arial" w:cs="Arial"/>
            <w:color w:val="0563C1"/>
            <w:sz w:val="20"/>
            <w:szCs w:val="20"/>
            <w:u w:val="single"/>
          </w:rPr>
          <w:t>https://www.apa.org/ed/resources/racial-disparities</w:t>
        </w:r>
      </w:hyperlink>
    </w:p>
    <w:p w14:paraId="7E78B7F7" w14:textId="77777777" w:rsidR="00903ADA" w:rsidRPr="00903ADA" w:rsidRDefault="00903ADA" w:rsidP="00903ADA">
      <w:pPr>
        <w:spacing w:after="120" w:line="259" w:lineRule="auto"/>
        <w:rPr>
          <w:rFonts w:ascii="Arial" w:eastAsia="Times New Roman" w:hAnsi="Arial" w:cs="Arial"/>
          <w:sz w:val="20"/>
          <w:szCs w:val="20"/>
        </w:rPr>
      </w:pPr>
      <w:r w:rsidRPr="00903ADA">
        <w:rPr>
          <w:rFonts w:ascii="Arial" w:eastAsia="Times New Roman" w:hAnsi="Arial" w:cs="Arial"/>
          <w:sz w:val="20"/>
          <w:szCs w:val="20"/>
        </w:rPr>
        <w:t xml:space="preserve">[20.4] </w:t>
      </w:r>
      <w:hyperlink r:id="rId10" w:history="1">
        <w:r w:rsidRPr="00903ADA">
          <w:rPr>
            <w:rFonts w:ascii="Arial" w:eastAsia="Times New Roman" w:hAnsi="Arial" w:cs="Arial"/>
            <w:color w:val="0563C1"/>
            <w:sz w:val="20"/>
            <w:szCs w:val="20"/>
            <w:u w:val="single"/>
          </w:rPr>
          <w:t>https://www.apa.org/pi/ses/resources/publications/minorities</w:t>
        </w:r>
      </w:hyperlink>
      <w:r w:rsidRPr="00903ADA">
        <w:rPr>
          <w:rFonts w:ascii="Arial" w:eastAsia="Times New Roman" w:hAnsi="Arial" w:cs="Arial"/>
          <w:sz w:val="20"/>
          <w:szCs w:val="20"/>
        </w:rPr>
        <w:t xml:space="preserve"> </w:t>
      </w:r>
    </w:p>
    <w:p w14:paraId="5C127B31" w14:textId="77777777" w:rsidR="00903ADA" w:rsidRPr="00903ADA" w:rsidRDefault="00903ADA" w:rsidP="00903ADA">
      <w:pPr>
        <w:spacing w:after="120" w:line="259" w:lineRule="auto"/>
        <w:rPr>
          <w:rFonts w:ascii="Arial" w:eastAsia="Times New Roman" w:hAnsi="Arial" w:cs="Arial"/>
          <w:sz w:val="20"/>
          <w:szCs w:val="20"/>
        </w:rPr>
      </w:pPr>
      <w:r w:rsidRPr="00903ADA">
        <w:rPr>
          <w:rFonts w:ascii="Arial" w:eastAsia="Times New Roman" w:hAnsi="Arial" w:cs="Arial"/>
          <w:sz w:val="20"/>
          <w:szCs w:val="20"/>
        </w:rPr>
        <w:t xml:space="preserve">[20.5] </w:t>
      </w:r>
      <w:hyperlink r:id="rId11" w:history="1">
        <w:r w:rsidRPr="00903ADA">
          <w:rPr>
            <w:rFonts w:ascii="Arial" w:eastAsia="Times New Roman" w:hAnsi="Arial" w:cs="Arial"/>
            <w:color w:val="0563C1"/>
            <w:sz w:val="20"/>
            <w:szCs w:val="20"/>
            <w:u w:val="single"/>
          </w:rPr>
          <w:t>https://www.kff.org/report-section/racial-and-ethnic-health-inequities-and-medicare-education-poverty-and-wealth/</w:t>
        </w:r>
      </w:hyperlink>
    </w:p>
    <w:p w14:paraId="22CC8531" w14:textId="77777777" w:rsidR="001D32AE" w:rsidRDefault="001D32AE" w:rsidP="00342811">
      <w:pPr>
        <w:spacing w:after="0" w:line="240" w:lineRule="auto"/>
        <w:rPr>
          <w:rFonts w:ascii="Arial" w:hAnsi="Arial" w:cs="Arial"/>
          <w:sz w:val="32"/>
          <w:szCs w:val="32"/>
        </w:rPr>
      </w:pPr>
    </w:p>
    <w:sectPr w:rsidR="001D32AE" w:rsidSect="002E249A">
      <w:headerReference w:type="default" r:id="rId12"/>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0696F" w14:textId="77777777" w:rsidR="00903ADA" w:rsidRDefault="00903ADA" w:rsidP="00461ADE">
      <w:pPr>
        <w:spacing w:after="0" w:line="240" w:lineRule="auto"/>
      </w:pPr>
      <w:r>
        <w:separator/>
      </w:r>
    </w:p>
  </w:endnote>
  <w:endnote w:type="continuationSeparator" w:id="0">
    <w:p w14:paraId="45E26E5D" w14:textId="77777777" w:rsidR="00903ADA" w:rsidRDefault="00903ADA"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846C4" w14:textId="77777777" w:rsidR="00903ADA" w:rsidRDefault="00903ADA" w:rsidP="00461ADE">
      <w:pPr>
        <w:spacing w:after="0" w:line="240" w:lineRule="auto"/>
      </w:pPr>
      <w:r>
        <w:separator/>
      </w:r>
    </w:p>
  </w:footnote>
  <w:footnote w:type="continuationSeparator" w:id="0">
    <w:p w14:paraId="200A6B35" w14:textId="77777777" w:rsidR="00903ADA" w:rsidRDefault="00903ADA"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AB163" w14:textId="77777777"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47294CF1" wp14:editId="1679A201">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87">
      <w:rPr>
        <w:rFonts w:ascii="Arial" w:hAnsi="Arial" w:cs="Arial"/>
        <w:i/>
        <w:noProof/>
        <w:color w:val="FFFFFF" w:themeColor="background1"/>
        <w:sz w:val="2"/>
        <w:szCs w:val="2"/>
      </w:rPr>
      <w:softHyphen/>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1569"/>
    <w:multiLevelType w:val="hybridMultilevel"/>
    <w:tmpl w:val="35267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DA"/>
    <w:rsid w:val="000D29F7"/>
    <w:rsid w:val="00137610"/>
    <w:rsid w:val="001D32AE"/>
    <w:rsid w:val="001F3D5D"/>
    <w:rsid w:val="002E249A"/>
    <w:rsid w:val="003206AF"/>
    <w:rsid w:val="00342811"/>
    <w:rsid w:val="00383681"/>
    <w:rsid w:val="00444287"/>
    <w:rsid w:val="00461ADE"/>
    <w:rsid w:val="00471392"/>
    <w:rsid w:val="004C2342"/>
    <w:rsid w:val="00524B89"/>
    <w:rsid w:val="00533AFD"/>
    <w:rsid w:val="005608E6"/>
    <w:rsid w:val="00603829"/>
    <w:rsid w:val="00671749"/>
    <w:rsid w:val="00741777"/>
    <w:rsid w:val="00772E4B"/>
    <w:rsid w:val="007D7EE7"/>
    <w:rsid w:val="008649BD"/>
    <w:rsid w:val="008A788B"/>
    <w:rsid w:val="008C2E9D"/>
    <w:rsid w:val="008F784D"/>
    <w:rsid w:val="00903ADA"/>
    <w:rsid w:val="009049D3"/>
    <w:rsid w:val="009719F8"/>
    <w:rsid w:val="00987483"/>
    <w:rsid w:val="009D3EB5"/>
    <w:rsid w:val="00A85C7E"/>
    <w:rsid w:val="00C55EB3"/>
    <w:rsid w:val="00C91749"/>
    <w:rsid w:val="00CE6BBD"/>
    <w:rsid w:val="00D11A64"/>
    <w:rsid w:val="00DC3E35"/>
    <w:rsid w:val="00E32EAC"/>
    <w:rsid w:val="00E53FFB"/>
    <w:rsid w:val="00E80E87"/>
    <w:rsid w:val="00EB5DD0"/>
    <w:rsid w:val="00F64577"/>
    <w:rsid w:val="00FA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03CF7D"/>
  <w15:docId w15:val="{A2AC7E38-5541-49E4-BA79-728B62B0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ListParagraph">
    <w:name w:val="List Paragraph"/>
    <w:basedOn w:val="Normal"/>
    <w:uiPriority w:val="34"/>
    <w:qFormat/>
    <w:rsid w:val="00903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8807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healthyyouth/disparities/index.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ff.org/report-section/racial-and-ethnic-health-inequities-and-medicare-education-poverty-and-wealth/" TargetMode="External"/><Relationship Id="rId5" Type="http://schemas.openxmlformats.org/officeDocument/2006/relationships/footnotes" Target="footnotes.xml"/><Relationship Id="rId10" Type="http://schemas.openxmlformats.org/officeDocument/2006/relationships/hyperlink" Target="https://www.apa.org/pi/ses/resources/publications/minorities" TargetMode="External"/><Relationship Id="rId4" Type="http://schemas.openxmlformats.org/officeDocument/2006/relationships/webSettings" Target="webSettings.xml"/><Relationship Id="rId9" Type="http://schemas.openxmlformats.org/officeDocument/2006/relationships/hyperlink" Target="https://www.apa.org/ed/resources/racial-dispar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hompson\OneDrive%20-%20Catholic%20Health%20Association\Desktop\We%20are%20called%20in%20process\CHA_WeAreCalled_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CHA_WeAreCalled_Template3.dotx</Template>
  <TotalTime>19</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Danette Thompson</dc:creator>
  <cp:lastModifiedBy>Kim Van Oosten</cp:lastModifiedBy>
  <cp:revision>4</cp:revision>
  <cp:lastPrinted>2012-08-30T22:42:00Z</cp:lastPrinted>
  <dcterms:created xsi:type="dcterms:W3CDTF">2021-04-14T18:42:00Z</dcterms:created>
  <dcterms:modified xsi:type="dcterms:W3CDTF">2021-04-15T18:04:00Z</dcterms:modified>
</cp:coreProperties>
</file>